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ind w:firstLine="567"/>
        <w:jc w:val="center"/>
        <w:rPr>
          <w:rFonts w:ascii="Times New Roman" w:hAnsi="Times New Roman" w:cs="Times New Roman"/>
          <w:b/>
          <w:sz w:val="24"/>
          <w:szCs w:val="24"/>
        </w:rPr>
      </w:pPr>
      <w:r>
        <w:rPr>
          <w:rFonts w:ascii="Times New Roman" w:hAnsi="Times New Roman" w:cs="Times New Roman"/>
          <w:b/>
          <w:sz w:val="24"/>
          <w:szCs w:val="24"/>
        </w:rPr>
        <w:t>Учебно-методические материалы по выполнению контрольных работ.</w:t>
      </w:r>
    </w:p>
    <w:p>
      <w:pPr>
        <w:spacing w:after="0"/>
        <w:ind w:firstLine="851"/>
        <w:jc w:val="both"/>
        <w:rPr>
          <w:rFonts w:ascii="Times New Roman" w:hAnsi="Times New Roman" w:cs="Times New Roman"/>
          <w:sz w:val="24"/>
          <w:szCs w:val="24"/>
        </w:rPr>
      </w:pPr>
      <w:r>
        <w:rPr>
          <w:rFonts w:ascii="Times New Roman" w:hAnsi="Times New Roman" w:cs="Times New Roman"/>
          <w:sz w:val="24"/>
          <w:szCs w:val="24"/>
        </w:rPr>
        <w:t>При изучении лекционного материала магистрант должен просмотреть конспекты лекций, рекомендованную литературу по данной теме; подготовиться к ответу на контрольные вопросы. После прослушивания лекции и создания ее конспекта магистранту рекомендуется в тот же день вечером в течение 20-30 минут просмотреть свои записи в конспекте по последней лекции, закрепив тем самым пройденный материал. В случае наличия неясных моментов, требующих дополнительного разъяснения преподавателем, подготовить список вопросов, которые необходимо будет задать преподавателю на следующей лекции или ближайшей консультации. Попытайтесь найти ответы на затруднительные вопросы, используя рекомендуемую литературу. Перед очередной лекцией рекомендуется течение 10-15 минут освежить в памяти материалы предыдущей лекции, что позволит облегчить восприятие нового материала, базирующегося на ранее представленной информации. Регулярно отводите время для повторения пройденного материала, проверяя свои знания, умения и навыки по контрольным вопросам. При необходимости работы с дополнительной литературой не следует откладывать такую работу на последний день, а ознакомиться с рекомендованной преподавателем литературой не позднее дня, следующего за днем получения такого задания. Постоянная активность на занятиях, готовность ставить и обсуждать актуальные проблемы курса - залог успешной работы и положительной оценки.</w:t>
      </w:r>
    </w:p>
    <w:p>
      <w:pPr>
        <w:spacing w:after="0"/>
        <w:ind w:firstLine="851"/>
        <w:jc w:val="center"/>
        <w:rPr>
          <w:rFonts w:ascii="Times New Roman" w:hAnsi="Times New Roman" w:cs="Times New Roman"/>
          <w:sz w:val="24"/>
          <w:szCs w:val="24"/>
        </w:rPr>
      </w:pPr>
      <w:r>
        <w:rPr>
          <w:rFonts w:ascii="Times New Roman" w:hAnsi="Times New Roman" w:cs="Times New Roman"/>
          <w:b/>
          <w:i/>
          <w:sz w:val="24"/>
          <w:szCs w:val="24"/>
        </w:rPr>
        <w:t>Алгоритм составление глоссария</w:t>
      </w:r>
      <w:r>
        <w:rPr>
          <w:rFonts w:ascii="Times New Roman" w:hAnsi="Times New Roman" w:cs="Times New Roman"/>
          <w:sz w:val="24"/>
          <w:szCs w:val="24"/>
        </w:rPr>
        <w:t xml:space="preserve"> (понятийного словаря темы).</w:t>
      </w:r>
    </w:p>
    <w:p>
      <w:pPr>
        <w:spacing w:after="0"/>
        <w:ind w:firstLine="851"/>
        <w:jc w:val="both"/>
        <w:rPr>
          <w:rFonts w:ascii="Times New Roman" w:hAnsi="Times New Roman" w:cs="Times New Roman"/>
          <w:sz w:val="24"/>
          <w:szCs w:val="24"/>
        </w:rPr>
      </w:pPr>
      <w:r>
        <w:rPr>
          <w:rFonts w:ascii="Times New Roman" w:hAnsi="Times New Roman" w:cs="Times New Roman"/>
          <w:sz w:val="24"/>
          <w:szCs w:val="24"/>
        </w:rPr>
        <w:t>После изучения темы необходимо выделить новые термины, расположить их а алфавитном порядке. К каждому термину необходимо дать определение, используя: записи лекционных и практических занятий; основную и дополнительную справочную литературу; сайты Интернета. В скобках рядом с термином указать использованные источники.</w:t>
      </w:r>
    </w:p>
    <w:p>
      <w:pPr>
        <w:spacing w:after="0"/>
        <w:ind w:firstLine="851"/>
        <w:jc w:val="center"/>
        <w:rPr>
          <w:rFonts w:ascii="Times New Roman" w:hAnsi="Times New Roman" w:cs="Times New Roman"/>
          <w:b/>
          <w:i/>
          <w:sz w:val="24"/>
          <w:szCs w:val="24"/>
        </w:rPr>
      </w:pPr>
      <w:r>
        <w:rPr>
          <w:rFonts w:ascii="Times New Roman" w:hAnsi="Times New Roman" w:cs="Times New Roman"/>
          <w:b/>
          <w:i/>
          <w:sz w:val="24"/>
          <w:szCs w:val="24"/>
        </w:rPr>
        <w:t>Письменные ответы на вопросы.</w:t>
      </w:r>
    </w:p>
    <w:p>
      <w:pPr>
        <w:spacing w:after="0"/>
        <w:ind w:firstLine="851"/>
        <w:jc w:val="both"/>
        <w:rPr>
          <w:rFonts w:ascii="Times New Roman" w:hAnsi="Times New Roman" w:cs="Times New Roman"/>
          <w:sz w:val="24"/>
          <w:szCs w:val="24"/>
        </w:rPr>
      </w:pPr>
      <w:r>
        <w:rPr>
          <w:rFonts w:ascii="Times New Roman" w:hAnsi="Times New Roman" w:cs="Times New Roman"/>
          <w:sz w:val="24"/>
          <w:szCs w:val="24"/>
        </w:rPr>
        <w:t>Магистранту следует письменно обосновать свое мнение по данному вопросу и в заключении сделать выводы по рассмотренному вопросу.  Объем ответа на 1 вопрос должен составлять 1-1,5 страниц машинописного текста.</w:t>
      </w:r>
    </w:p>
    <w:p>
      <w:pPr>
        <w:spacing w:after="0"/>
        <w:ind w:firstLine="851"/>
        <w:jc w:val="center"/>
        <w:rPr>
          <w:rFonts w:ascii="Times New Roman" w:hAnsi="Times New Roman" w:cs="Times New Roman"/>
          <w:b/>
          <w:i/>
          <w:sz w:val="24"/>
          <w:szCs w:val="24"/>
        </w:rPr>
      </w:pPr>
    </w:p>
    <w:p>
      <w:pPr>
        <w:spacing w:after="0"/>
        <w:ind w:firstLine="851"/>
        <w:jc w:val="center"/>
        <w:rPr>
          <w:rFonts w:ascii="Times New Roman" w:hAnsi="Times New Roman" w:cs="Times New Roman"/>
          <w:b/>
          <w:i/>
          <w:sz w:val="24"/>
          <w:szCs w:val="24"/>
        </w:rPr>
      </w:pPr>
      <w:r>
        <w:rPr>
          <w:rFonts w:ascii="Times New Roman" w:hAnsi="Times New Roman" w:cs="Times New Roman"/>
          <w:b/>
          <w:i/>
          <w:sz w:val="24"/>
          <w:szCs w:val="24"/>
        </w:rPr>
        <w:t>Выполнение заданий.</w:t>
      </w:r>
    </w:p>
    <w:p>
      <w:pPr>
        <w:spacing w:after="0"/>
        <w:ind w:firstLine="851"/>
        <w:jc w:val="both"/>
        <w:rPr>
          <w:rFonts w:ascii="Times New Roman" w:hAnsi="Times New Roman" w:cs="Times New Roman"/>
          <w:sz w:val="24"/>
          <w:szCs w:val="24"/>
        </w:rPr>
      </w:pPr>
      <w:r>
        <w:rPr>
          <w:rFonts w:ascii="Times New Roman" w:hAnsi="Times New Roman" w:cs="Times New Roman"/>
          <w:sz w:val="24"/>
          <w:szCs w:val="24"/>
        </w:rPr>
        <w:t>Магистрантам для разбора конкретных ситуаций необходимо ознакомиться с лекционным материалом. Магистрант должен письменно сформировать ответ по разобранным ситуациям и, при необходимости ответить, на вопросы преподавателя.</w:t>
      </w:r>
    </w:p>
    <w:p>
      <w:pPr>
        <w:spacing w:after="0"/>
        <w:ind w:firstLine="851"/>
        <w:jc w:val="center"/>
        <w:rPr>
          <w:rFonts w:ascii="Times New Roman" w:hAnsi="Times New Roman" w:cs="Times New Roman"/>
          <w:i/>
          <w:sz w:val="24"/>
          <w:szCs w:val="24"/>
        </w:rPr>
      </w:pPr>
    </w:p>
    <w:p>
      <w:pPr>
        <w:spacing w:after="0"/>
        <w:jc w:val="center"/>
        <w:rPr>
          <w:rFonts w:ascii="Times New Roman" w:hAnsi="Times New Roman" w:cs="Times New Roman"/>
          <w:b/>
          <w:i/>
          <w:sz w:val="24"/>
          <w:szCs w:val="24"/>
        </w:rPr>
      </w:pPr>
      <w:r>
        <w:rPr>
          <w:rFonts w:ascii="Times New Roman" w:hAnsi="Times New Roman" w:cs="Times New Roman"/>
          <w:b/>
          <w:i/>
          <w:sz w:val="24"/>
          <w:szCs w:val="24"/>
        </w:rPr>
        <w:t>Методические рекомендации по написанию реферата.</w:t>
      </w:r>
    </w:p>
    <w:p>
      <w:pPr>
        <w:pStyle w:val="4"/>
        <w:shd w:val="clear" w:color="auto" w:fill="FFFFFF"/>
        <w:spacing w:before="0" w:beforeAutospacing="0" w:after="0" w:afterAutospacing="0"/>
        <w:ind w:firstLine="426"/>
        <w:jc w:val="both"/>
        <w:textAlignment w:val="baseline"/>
      </w:pPr>
      <w:r>
        <w:t>Написание реферата - это одна из форм самостоятельной работы магистранта, предусмотренная рабочей программы по данной дисциплине.. Написание реферата является важным элементом процесса изучения любой</w:t>
      </w:r>
      <w:r>
        <w:rPr>
          <w:rStyle w:val="11"/>
        </w:rPr>
        <w:t> </w:t>
      </w:r>
      <w:r>
        <w:fldChar w:fldCharType="begin"/>
      </w:r>
      <w:r>
        <w:instrText xml:space="preserve"> HYPERLINK "http://pandia.ru/text/category/uchebnie_distciplini/" \o "Учебные дисциплины" </w:instrText>
      </w:r>
      <w:r>
        <w:fldChar w:fldCharType="separate"/>
      </w:r>
      <w:r>
        <w:rPr>
          <w:rStyle w:val="7"/>
        </w:rPr>
        <w:t>учебной дисциплины</w:t>
      </w:r>
      <w:r>
        <w:rPr>
          <w:rStyle w:val="7"/>
        </w:rPr>
        <w:fldChar w:fldCharType="end"/>
      </w:r>
      <w:r>
        <w:t>.</w:t>
      </w:r>
    </w:p>
    <w:p>
      <w:pPr>
        <w:pStyle w:val="4"/>
        <w:shd w:val="clear" w:color="auto" w:fill="FFFFFF"/>
        <w:spacing w:before="0" w:beforeAutospacing="0" w:after="0" w:afterAutospacing="0"/>
        <w:ind w:firstLine="426"/>
        <w:jc w:val="both"/>
        <w:textAlignment w:val="baseline"/>
      </w:pPr>
      <w:r>
        <w:t>В процессе написания реферата формируется умение работать с научной и</w:t>
      </w:r>
      <w:r>
        <w:rPr>
          <w:rStyle w:val="11"/>
        </w:rPr>
        <w:t> </w:t>
      </w:r>
      <w:r>
        <w:fldChar w:fldCharType="begin"/>
      </w:r>
      <w:r>
        <w:instrText xml:space="preserve"> HYPERLINK "http://pandia.ru/text/category/uchebnaya_literatura/" \o "Учебная литература" </w:instrText>
      </w:r>
      <w:r>
        <w:fldChar w:fldCharType="separate"/>
      </w:r>
      <w:r>
        <w:rPr>
          <w:rStyle w:val="7"/>
        </w:rPr>
        <w:t>учебной литературой</w:t>
      </w:r>
      <w:r>
        <w:rPr>
          <w:rStyle w:val="7"/>
        </w:rPr>
        <w:fldChar w:fldCharType="end"/>
      </w:r>
      <w:r>
        <w:t>; размышлять о прочитанном; определять главные идеи, утверждения и отделять их от второстепенных; разбираться в доказательствах, понимать логику изложения и обоснованность выводов. Формируются первоначальные навыки письменно излагать прочитанное, комментировать, обобщать, анализировать статистические данные, делать и аргументировать выводы, составлять и грамотно оформлять научный аппарат своей работы. То есть формируются навыки</w:t>
      </w:r>
      <w:r>
        <w:rPr>
          <w:rStyle w:val="11"/>
        </w:rPr>
        <w:t> </w:t>
      </w:r>
      <w:r>
        <w:fldChar w:fldCharType="begin"/>
      </w:r>
      <w:r>
        <w:instrText xml:space="preserve"> HYPERLINK "http://pandia.ru/text/category/nauchnie_raboti/" \o "Научные работы" </w:instrText>
      </w:r>
      <w:r>
        <w:fldChar w:fldCharType="separate"/>
      </w:r>
      <w:r>
        <w:rPr>
          <w:rStyle w:val="7"/>
        </w:rPr>
        <w:t>научной работы</w:t>
      </w:r>
      <w:r>
        <w:rPr>
          <w:rStyle w:val="7"/>
        </w:rPr>
        <w:fldChar w:fldCharType="end"/>
      </w:r>
      <w:r>
        <w:t>, исследовательские навыки, развиваются аналитические способности.</w:t>
      </w:r>
    </w:p>
    <w:p>
      <w:pPr>
        <w:pStyle w:val="4"/>
        <w:shd w:val="clear" w:color="auto" w:fill="FFFFFF"/>
        <w:spacing w:before="0" w:beforeAutospacing="0" w:after="0" w:afterAutospacing="0"/>
        <w:ind w:firstLine="426"/>
        <w:jc w:val="both"/>
        <w:textAlignment w:val="baseline"/>
      </w:pPr>
      <w:r>
        <w:t>Написание реферата выполняется под руководством преподавателя, ведущего дисциплину "Теоретические основы рискологии". Преподаватель помогает магистранту подобрать литературу по избранной теме, осуществляет консультирование и контроль за</w:t>
      </w:r>
      <w:r>
        <w:rPr>
          <w:rStyle w:val="11"/>
        </w:rPr>
        <w:t> </w:t>
      </w:r>
      <w:r>
        <w:fldChar w:fldCharType="begin"/>
      </w:r>
      <w:r>
        <w:instrText xml:space="preserve"> HYPERLINK "http://pandia.ru/text/category/vipolnenie_rabot/" \o "Выполнение работ" </w:instrText>
      </w:r>
      <w:r>
        <w:fldChar w:fldCharType="separate"/>
      </w:r>
      <w:r>
        <w:rPr>
          <w:rStyle w:val="7"/>
        </w:rPr>
        <w:t>выполнением работы</w:t>
      </w:r>
      <w:r>
        <w:rPr>
          <w:rStyle w:val="7"/>
        </w:rPr>
        <w:fldChar w:fldCharType="end"/>
      </w:r>
      <w:r>
        <w:t>.</w:t>
      </w:r>
    </w:p>
    <w:p>
      <w:pPr>
        <w:pStyle w:val="4"/>
        <w:shd w:val="clear" w:color="auto" w:fill="FFFFFF"/>
        <w:spacing w:before="0" w:beforeAutospacing="0" w:after="0" w:afterAutospacing="0"/>
        <w:ind w:firstLine="426"/>
        <w:jc w:val="both"/>
        <w:textAlignment w:val="baseline"/>
      </w:pPr>
      <w:r>
        <w:t>Реферат является самостоятельным творческим исследованием магистранта, предполагающим более глубокое овладение теоретическим материалом.</w:t>
      </w:r>
    </w:p>
    <w:p>
      <w:pPr>
        <w:pStyle w:val="4"/>
        <w:shd w:val="clear" w:color="auto" w:fill="FFFFFF"/>
        <w:spacing w:before="0" w:beforeAutospacing="0" w:after="0" w:afterAutospacing="0"/>
        <w:ind w:firstLine="426"/>
        <w:jc w:val="both"/>
        <w:textAlignment w:val="baseline"/>
      </w:pPr>
      <w:r>
        <w:t>Процесс написания реферата состоит из нескольких этапов:</w:t>
      </w:r>
    </w:p>
    <w:p>
      <w:pPr>
        <w:pStyle w:val="4"/>
        <w:numPr>
          <w:ilvl w:val="0"/>
          <w:numId w:val="1"/>
        </w:numPr>
        <w:shd w:val="clear" w:color="auto" w:fill="FFFFFF"/>
        <w:spacing w:before="0" w:beforeAutospacing="0" w:after="0" w:afterAutospacing="0"/>
        <w:jc w:val="both"/>
        <w:textAlignment w:val="baseline"/>
      </w:pPr>
      <w:r>
        <w:rPr>
          <w:bCs/>
          <w:i/>
          <w:iCs/>
        </w:rPr>
        <w:t>выбор темы</w:t>
      </w:r>
      <w:r>
        <w:rPr>
          <w:rStyle w:val="11"/>
        </w:rPr>
        <w:t> </w:t>
      </w:r>
      <w:r>
        <w:t>осуществляется магистрантом самостоятельно из списка тем, рекомендованных настоящим учебно-методическим комплексом дисциплины, с учетом общей тематики диссертационного исследования магистранта, возможен выбор темы, предложенной магистрантом в интересах его диссертационного исследования;</w:t>
      </w:r>
    </w:p>
    <w:p>
      <w:pPr>
        <w:pStyle w:val="4"/>
        <w:numPr>
          <w:ilvl w:val="0"/>
          <w:numId w:val="1"/>
        </w:numPr>
        <w:shd w:val="clear" w:color="auto" w:fill="FFFFFF"/>
        <w:spacing w:before="0" w:beforeAutospacing="0" w:after="0" w:afterAutospacing="0"/>
        <w:jc w:val="both"/>
        <w:textAlignment w:val="baseline"/>
      </w:pPr>
      <w:r>
        <w:rPr>
          <w:bCs/>
          <w:i/>
          <w:iCs/>
        </w:rPr>
        <w:t xml:space="preserve">составление списка литературы и ее изучение. </w:t>
      </w:r>
      <w:r>
        <w:t xml:space="preserve">При составлении списка литературы следует обратиться к перечню литературы в рамках которого пишется реферат; </w:t>
      </w:r>
      <w:r>
        <w:rPr>
          <w:rStyle w:val="11"/>
        </w:rPr>
        <w:t> </w:t>
      </w:r>
      <w:r>
        <w:fldChar w:fldCharType="begin"/>
      </w:r>
      <w:r>
        <w:instrText xml:space="preserve"> HYPERLINK "http://pandia.ru/text/category/bibliografiya/" \o "Библиография" </w:instrText>
      </w:r>
      <w:r>
        <w:fldChar w:fldCharType="separate"/>
      </w:r>
      <w:r>
        <w:rPr>
          <w:rStyle w:val="7"/>
        </w:rPr>
        <w:t>библиографическим</w:t>
      </w:r>
      <w:r>
        <w:rPr>
          <w:rStyle w:val="7"/>
        </w:rPr>
        <w:fldChar w:fldCharType="end"/>
      </w:r>
      <w:r>
        <w:rPr>
          <w:rStyle w:val="11"/>
        </w:rPr>
        <w:t> </w:t>
      </w:r>
      <w:r>
        <w:t>каталогам, имеющимся в библиотеке;  перечням статей, опубликованных в последних за год номерах периодических экономических журналах (причем начинать нужно с последнего года, а затем переходить к более ранним изданиям). Изучение литературы предполагает внимательное ознакомление с выбранными источниками, систематизацию и отбор необходимого теоретического, фактологического и др. материала с обязательным указанием «обратного адреса» - полных выходных данных книги, статьи, справочника и т. д. Список использованной литературы. Обычно представлены работы, опубликованные не ранее 5-летнего срока. Это не касается работ, признанных в научном сообществе классическими. Список составляется согласно правилам библиографического описания.</w:t>
      </w:r>
    </w:p>
    <w:p>
      <w:pPr>
        <w:pStyle w:val="4"/>
        <w:numPr>
          <w:ilvl w:val="0"/>
          <w:numId w:val="1"/>
        </w:numPr>
        <w:shd w:val="clear" w:color="auto" w:fill="FFFFFF"/>
        <w:spacing w:before="0" w:beforeAutospacing="0" w:after="0" w:afterAutospacing="0"/>
        <w:jc w:val="both"/>
        <w:textAlignment w:val="baseline"/>
      </w:pPr>
      <w:r>
        <w:rPr>
          <w:bCs/>
          <w:i/>
          <w:iCs/>
        </w:rPr>
        <w:t>составление плана и написание работы.</w:t>
      </w:r>
      <w:r>
        <w:rPr>
          <w:rStyle w:val="11"/>
          <w:b/>
          <w:bCs/>
          <w:i/>
          <w:iCs/>
        </w:rPr>
        <w:t> </w:t>
      </w:r>
      <w:r>
        <w:t>План реферата должен способствовать наиболее полному и логичному раскрытию выбранной темы. В работе должна быть четко выдержана следующая</w:t>
      </w:r>
      <w:r>
        <w:rPr>
          <w:rStyle w:val="11"/>
        </w:rPr>
        <w:t> </w:t>
      </w:r>
      <w:r>
        <w:rPr>
          <w:b/>
          <w:bCs/>
        </w:rPr>
        <w:t>структура</w:t>
      </w:r>
      <w:r>
        <w:t>:</w:t>
      </w:r>
    </w:p>
    <w:p>
      <w:pPr>
        <w:pStyle w:val="4"/>
        <w:numPr>
          <w:ilvl w:val="2"/>
          <w:numId w:val="1"/>
        </w:numPr>
        <w:shd w:val="clear" w:color="auto" w:fill="FFFFFF"/>
        <w:spacing w:before="0" w:beforeAutospacing="0" w:after="0" w:afterAutospacing="0"/>
        <w:jc w:val="both"/>
        <w:textAlignment w:val="baseline"/>
      </w:pPr>
      <w:r>
        <w:t>Ø </w:t>
      </w:r>
      <w:r>
        <w:rPr>
          <w:rStyle w:val="11"/>
        </w:rPr>
        <w:t> </w:t>
      </w:r>
      <w:r>
        <w:rPr>
          <w:b/>
          <w:bCs/>
          <w:i/>
          <w:iCs/>
          <w:u w:val="single"/>
        </w:rPr>
        <w:t>введение</w:t>
      </w:r>
      <w:r>
        <w:t>, в котором раскрывается актуальность выбранной темы;</w:t>
      </w:r>
    </w:p>
    <w:p>
      <w:pPr>
        <w:pStyle w:val="4"/>
        <w:numPr>
          <w:ilvl w:val="2"/>
          <w:numId w:val="1"/>
        </w:numPr>
        <w:shd w:val="clear" w:color="auto" w:fill="FFFFFF"/>
        <w:spacing w:before="0" w:beforeAutospacing="0" w:after="0" w:afterAutospacing="0"/>
        <w:jc w:val="both"/>
        <w:textAlignment w:val="baseline"/>
      </w:pPr>
      <w:r>
        <w:t>Ø </w:t>
      </w:r>
      <w:r>
        <w:rPr>
          <w:rStyle w:val="11"/>
        </w:rPr>
        <w:t> </w:t>
      </w:r>
      <w:r>
        <w:rPr>
          <w:b/>
          <w:bCs/>
          <w:i/>
          <w:iCs/>
          <w:u w:val="single"/>
        </w:rPr>
        <w:t>основная часть,</w:t>
      </w:r>
      <w:r>
        <w:rPr>
          <w:rStyle w:val="11"/>
          <w:i/>
          <w:iCs/>
        </w:rPr>
        <w:t> </w:t>
      </w:r>
      <w:r>
        <w:t>где раскрывается содержание темы. Она может быть разделена на 3-4 пункта, исходя из задач и логики рассмотрения проблемы. План этой части и составляется после ознакомления с литературой;</w:t>
      </w:r>
    </w:p>
    <w:p>
      <w:pPr>
        <w:pStyle w:val="4"/>
        <w:numPr>
          <w:ilvl w:val="2"/>
          <w:numId w:val="1"/>
        </w:numPr>
        <w:shd w:val="clear" w:color="auto" w:fill="FFFFFF"/>
        <w:spacing w:before="0" w:beforeAutospacing="0" w:after="0" w:afterAutospacing="0"/>
        <w:jc w:val="both"/>
        <w:textAlignment w:val="baseline"/>
      </w:pPr>
      <w:r>
        <w:t>Ø </w:t>
      </w:r>
      <w:r>
        <w:rPr>
          <w:rStyle w:val="11"/>
        </w:rPr>
        <w:t> </w:t>
      </w:r>
      <w:r>
        <w:rPr>
          <w:b/>
          <w:bCs/>
          <w:i/>
          <w:iCs/>
          <w:u w:val="single"/>
        </w:rPr>
        <w:t>заключение,</w:t>
      </w:r>
      <w:r>
        <w:rPr>
          <w:rStyle w:val="11"/>
          <w:i/>
          <w:iCs/>
        </w:rPr>
        <w:t> </w:t>
      </w:r>
      <w:r>
        <w:t>которое содержит краткие выводы;</w:t>
      </w:r>
    </w:p>
    <w:p>
      <w:pPr>
        <w:pStyle w:val="4"/>
        <w:numPr>
          <w:ilvl w:val="2"/>
          <w:numId w:val="1"/>
        </w:numPr>
        <w:shd w:val="clear" w:color="auto" w:fill="FFFFFF"/>
        <w:spacing w:before="0" w:beforeAutospacing="0" w:after="0" w:afterAutospacing="0"/>
        <w:jc w:val="both"/>
        <w:textAlignment w:val="baseline"/>
      </w:pPr>
      <w:r>
        <w:t>Ø </w:t>
      </w:r>
      <w:r>
        <w:rPr>
          <w:rStyle w:val="11"/>
        </w:rPr>
        <w:t> </w:t>
      </w:r>
      <w:r>
        <w:rPr>
          <w:b/>
          <w:bCs/>
          <w:i/>
          <w:iCs/>
          <w:u w:val="single"/>
        </w:rPr>
        <w:t>библиография</w:t>
      </w:r>
      <w:r>
        <w:rPr>
          <w:rStyle w:val="11"/>
          <w:i/>
          <w:iCs/>
        </w:rPr>
        <w:t> </w:t>
      </w:r>
      <w:r>
        <w:t xml:space="preserve">- список использованной литературы и других источников, указанных в </w:t>
      </w:r>
      <w:r>
        <w:fldChar w:fldCharType="begin"/>
      </w:r>
      <w:r>
        <w:instrText xml:space="preserve"> HYPERLINK "http://pandia.ru/text/category/alfavit/" \o "Алфавит" </w:instrText>
      </w:r>
      <w:r>
        <w:fldChar w:fldCharType="separate"/>
      </w:r>
      <w:r>
        <w:rPr>
          <w:rStyle w:val="7"/>
        </w:rPr>
        <w:t>алфавитном</w:t>
      </w:r>
      <w:r>
        <w:rPr>
          <w:rStyle w:val="7"/>
        </w:rPr>
        <w:fldChar w:fldCharType="end"/>
      </w:r>
      <w:r>
        <w:rPr>
          <w:rStyle w:val="11"/>
        </w:rPr>
        <w:t> </w:t>
      </w:r>
      <w:r>
        <w:t>порядке;</w:t>
      </w:r>
    </w:p>
    <w:p>
      <w:pPr>
        <w:pStyle w:val="4"/>
        <w:shd w:val="clear" w:color="auto" w:fill="FFFFFF"/>
        <w:spacing w:before="383" w:beforeAutospacing="0" w:after="0" w:afterAutospacing="0"/>
        <w:ind w:firstLine="426"/>
        <w:jc w:val="center"/>
        <w:textAlignment w:val="baseline"/>
        <w:rPr>
          <w:u w:val="single"/>
        </w:rPr>
      </w:pPr>
      <w:r>
        <w:rPr>
          <w:u w:val="single"/>
        </w:rPr>
        <w:t>Общие требования по оформлению реферата.</w:t>
      </w:r>
    </w:p>
    <w:p>
      <w:pPr>
        <w:pStyle w:val="4"/>
        <w:numPr>
          <w:ilvl w:val="0"/>
          <w:numId w:val="2"/>
        </w:numPr>
        <w:shd w:val="clear" w:color="auto" w:fill="FFFFFF"/>
        <w:spacing w:before="0" w:beforeAutospacing="0" w:after="0" w:afterAutospacing="0"/>
        <w:jc w:val="both"/>
        <w:textAlignment w:val="baseline"/>
      </w:pPr>
      <w:r>
        <w:rPr>
          <w:color w:val="000000"/>
          <w:shd w:val="clear" w:color="auto" w:fill="FFFFFF"/>
        </w:rPr>
        <w:t>Объем реферата должен составлять 20-25 страниц машинописного текста.</w:t>
      </w:r>
    </w:p>
    <w:p>
      <w:pPr>
        <w:pStyle w:val="4"/>
        <w:numPr>
          <w:ilvl w:val="0"/>
          <w:numId w:val="2"/>
        </w:numPr>
        <w:shd w:val="clear" w:color="auto" w:fill="FFFFFF"/>
        <w:spacing w:before="0" w:beforeAutospacing="0" w:after="0" w:afterAutospacing="0"/>
        <w:jc w:val="both"/>
        <w:textAlignment w:val="baseline"/>
      </w:pPr>
      <w:r>
        <w:t>Текст реферата представляется в текстовом редакторе Microsoft Word без стилистических и грамматических ошибок, в книжной ориентации, через 1,5 интервала на листах формата А4 (210х297 мм). Для набора текста рекомендуется использовать шрифты: Times New Roman Cyr, размер шрифта – 14 пт.</w:t>
      </w:r>
    </w:p>
    <w:p>
      <w:pPr>
        <w:pStyle w:val="4"/>
        <w:numPr>
          <w:ilvl w:val="0"/>
          <w:numId w:val="2"/>
        </w:numPr>
        <w:shd w:val="clear" w:color="auto" w:fill="FFFFFF"/>
        <w:spacing w:before="0" w:beforeAutospacing="0" w:after="0" w:afterAutospacing="0"/>
        <w:textAlignment w:val="baseline"/>
      </w:pPr>
      <w:r>
        <w:t>Поля страницы должны иметь границы: левое – 3 см., правое – 1,5 см., нижнее – 2 см., верхнее – 2см. Абзац (красная строка) должен равняться четырем знакам (1,25 см).</w:t>
      </w:r>
    </w:p>
    <w:p>
      <w:pPr>
        <w:pStyle w:val="4"/>
        <w:numPr>
          <w:ilvl w:val="0"/>
          <w:numId w:val="2"/>
        </w:numPr>
        <w:shd w:val="clear" w:color="auto" w:fill="FFFFFF"/>
        <w:spacing w:before="0" w:beforeAutospacing="0" w:after="0" w:afterAutospacing="0"/>
        <w:textAlignment w:val="baseline"/>
      </w:pPr>
      <w:r>
        <w:t>Каждая структурная часть реферата начинается с новой страницы.</w:t>
      </w:r>
      <w:r>
        <w:br w:type="textWrapping"/>
      </w:r>
      <w:r>
        <w:t>Формулы внутри реферата должны иметь сквозную нумерацию и все пояснения используемых в них символов.</w:t>
      </w:r>
    </w:p>
    <w:p>
      <w:pPr>
        <w:pStyle w:val="4"/>
        <w:numPr>
          <w:ilvl w:val="0"/>
          <w:numId w:val="2"/>
        </w:numPr>
        <w:shd w:val="clear" w:color="auto" w:fill="FFFFFF"/>
        <w:spacing w:before="0" w:beforeAutospacing="0" w:after="0" w:afterAutospacing="0"/>
        <w:textAlignment w:val="baseline"/>
      </w:pPr>
      <w:r>
        <w:t>Иллюстрации, рисунки, чертежи, графики, фотографии, которые приводятся по тексту работы, должны иметь нумерацию.</w:t>
      </w:r>
    </w:p>
    <w:p>
      <w:pPr>
        <w:pStyle w:val="4"/>
        <w:numPr>
          <w:ilvl w:val="0"/>
          <w:numId w:val="2"/>
        </w:numPr>
        <w:shd w:val="clear" w:color="auto" w:fill="FFFFFF"/>
        <w:spacing w:before="0" w:beforeAutospacing="0" w:after="0" w:afterAutospacing="0"/>
        <w:textAlignment w:val="baseline"/>
      </w:pPr>
      <w:r>
        <w:t>Ссылки на литературные источники оформляются в квадратных скобках, где вначале указывается порядковый номер по библиографическому списку, а через запятую номер страницы.</w:t>
      </w:r>
      <w:r>
        <w:br w:type="textWrapping"/>
      </w:r>
      <w:r>
        <w:t xml:space="preserve"> Все страницы реферата, кроме титульного листа, нумеруются арабскими цифрами. Номер проставляется вверху в центре страницы.</w:t>
      </w:r>
    </w:p>
    <w:p>
      <w:pPr>
        <w:pStyle w:val="4"/>
        <w:numPr>
          <w:ilvl w:val="0"/>
          <w:numId w:val="2"/>
        </w:numPr>
        <w:shd w:val="clear" w:color="auto" w:fill="FFFFFF"/>
        <w:spacing w:before="0" w:beforeAutospacing="0" w:after="0" w:afterAutospacing="0"/>
        <w:textAlignment w:val="baseline"/>
      </w:pPr>
      <w:r>
        <w:t>В титульном листе указывается: название университета; название подразделения; название кафедры, название темы и учебной дисциплины, по которой пишется реферат; фамилия, имя, отчество автора реферата; фамилия, имя, отчество, ученая степень и звание руководителя; год (см. Приложение 1). Титульный лист реферата включается в общую нумерацию, но номер страницы на нем не проставляется.</w:t>
      </w:r>
    </w:p>
    <w:p>
      <w:pPr>
        <w:pStyle w:val="4"/>
        <w:numPr>
          <w:ilvl w:val="0"/>
          <w:numId w:val="2"/>
        </w:numPr>
        <w:shd w:val="clear" w:color="auto" w:fill="FFFFFF"/>
        <w:spacing w:before="0" w:beforeAutospacing="0" w:after="0" w:afterAutospacing="0"/>
        <w:textAlignment w:val="baseline"/>
      </w:pPr>
      <w:r>
        <w:t>В списке использованной литературе в реферате должно быть не менее 10 источников. Литература должна быть "свежая", 70% источников должны быть опубликованы не ранее 5-летнего срока.</w:t>
      </w:r>
    </w:p>
    <w:p>
      <w:pPr>
        <w:pStyle w:val="4"/>
        <w:numPr>
          <w:ilvl w:val="0"/>
          <w:numId w:val="2"/>
        </w:numPr>
        <w:shd w:val="clear" w:color="auto" w:fill="FFFFFF"/>
        <w:spacing w:before="0" w:beforeAutospacing="0" w:after="0" w:afterAutospacing="0"/>
        <w:textAlignment w:val="baseline"/>
      </w:pPr>
      <w:r>
        <w:t>Все структурные части реферата сшиваются в той же последовательности, как они представлены в структуре.</w:t>
      </w:r>
    </w:p>
    <w:p>
      <w:pPr>
        <w:pStyle w:val="4"/>
        <w:shd w:val="clear" w:color="auto" w:fill="FFFFFF"/>
        <w:spacing w:before="0" w:beforeAutospacing="0" w:after="0" w:afterAutospacing="0"/>
        <w:ind w:firstLine="426"/>
        <w:jc w:val="both"/>
        <w:textAlignment w:val="baseline"/>
      </w:pPr>
      <w:r>
        <w:t>В процессе написания реферата магистрант, при необходимости, консультируется с преподавателями, читающими  данную дисциплину. Подготовленный реферат представляется в установленный индивидуальным планом магистранта срок преподавателю, для проверки и допуска к зачету.</w:t>
      </w:r>
    </w:p>
    <w:p>
      <w:pPr>
        <w:pStyle w:val="4"/>
        <w:shd w:val="clear" w:color="auto" w:fill="FFFFFF"/>
        <w:spacing w:before="0" w:beforeAutospacing="0" w:after="0" w:afterAutospacing="0"/>
        <w:ind w:firstLine="426"/>
        <w:jc w:val="both"/>
        <w:textAlignment w:val="baseline"/>
      </w:pPr>
      <w:r>
        <w:t>Преподаватель оценивает реферат на:</w:t>
      </w:r>
    </w:p>
    <w:p>
      <w:pPr>
        <w:pStyle w:val="4"/>
        <w:shd w:val="clear" w:color="auto" w:fill="FFFFFF"/>
        <w:spacing w:before="0" w:beforeAutospacing="0" w:after="0" w:afterAutospacing="0"/>
        <w:ind w:firstLine="426"/>
        <w:jc w:val="both"/>
        <w:textAlignment w:val="baseline"/>
      </w:pPr>
      <w:r>
        <w:t>«зачет», если он носит самостоятельный, творческий характер, правильно оформлен. В нём видна позиция автора, делаются обоснованные выводы, а автор демонстрирует глубокие знания по избранной теме и свободно владеет материалом;</w:t>
      </w:r>
    </w:p>
    <w:p>
      <w:pPr>
        <w:pStyle w:val="4"/>
        <w:shd w:val="clear" w:color="auto" w:fill="FFFFFF"/>
        <w:spacing w:before="0" w:beforeAutospacing="0" w:after="0" w:afterAutospacing="0"/>
        <w:ind w:firstLine="426"/>
        <w:jc w:val="both"/>
        <w:textAlignment w:val="baseline"/>
      </w:pPr>
      <w:r>
        <w:t>«незачет», если он не соответствует предъявляемым требованиям и автор не может дать объяснения основным положениям и выводам работы, реферат не был подготовлен и сдан преподавателю.</w:t>
      </w:r>
    </w:p>
    <w:p>
      <w:pPr>
        <w:tabs>
          <w:tab w:val="left" w:pos="1276"/>
        </w:tabs>
        <w:spacing w:after="0"/>
        <w:jc w:val="center"/>
        <w:rPr>
          <w:rFonts w:ascii="Times New Roman" w:hAnsi="Times New Roman" w:cs="Times New Roman"/>
          <w:b/>
          <w:snapToGrid w:val="0"/>
          <w:color w:val="000000"/>
          <w:sz w:val="24"/>
          <w:szCs w:val="24"/>
        </w:rPr>
      </w:pPr>
      <w:r>
        <w:rPr>
          <w:rFonts w:ascii="Times New Roman" w:hAnsi="Times New Roman" w:cs="Times New Roman"/>
          <w:sz w:val="24"/>
          <w:szCs w:val="24"/>
        </w:rPr>
        <w:br w:type="textWrapping"/>
      </w:r>
      <w:r>
        <w:rPr>
          <w:rFonts w:ascii="Times New Roman" w:hAnsi="Times New Roman" w:cs="Times New Roman"/>
          <w:b/>
          <w:snapToGrid w:val="0"/>
          <w:color w:val="000000"/>
          <w:sz w:val="24"/>
          <w:szCs w:val="24"/>
        </w:rPr>
        <w:t>Примерная тематика рефератов.</w:t>
      </w:r>
    </w:p>
    <w:p>
      <w:pPr>
        <w:tabs>
          <w:tab w:val="left" w:pos="1276"/>
        </w:tabs>
        <w:spacing w:after="0" w:line="240" w:lineRule="auto"/>
        <w:ind w:left="567"/>
        <w:jc w:val="both"/>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1.</w:t>
      </w:r>
      <w:r>
        <w:rPr>
          <w:rFonts w:ascii="Times New Roman" w:hAnsi="Times New Roman" w:cs="Times New Roman"/>
          <w:snapToGrid w:val="0"/>
          <w:color w:val="000000"/>
          <w:sz w:val="24"/>
          <w:szCs w:val="24"/>
        </w:rPr>
        <w:tab/>
      </w:r>
      <w:r>
        <w:rPr>
          <w:rFonts w:ascii="Times New Roman" w:hAnsi="Times New Roman" w:cs="Times New Roman"/>
          <w:snapToGrid w:val="0"/>
          <w:color w:val="000000"/>
          <w:sz w:val="24"/>
          <w:szCs w:val="24"/>
        </w:rPr>
        <w:t>Причины и факторы усиления техногенной опасности.</w:t>
      </w:r>
    </w:p>
    <w:p>
      <w:pPr>
        <w:tabs>
          <w:tab w:val="left" w:pos="1276"/>
        </w:tabs>
        <w:spacing w:after="0" w:line="240" w:lineRule="auto"/>
        <w:ind w:left="567"/>
        <w:jc w:val="both"/>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2.</w:t>
      </w:r>
      <w:r>
        <w:rPr>
          <w:rFonts w:ascii="Times New Roman" w:hAnsi="Times New Roman" w:cs="Times New Roman"/>
          <w:snapToGrid w:val="0"/>
          <w:color w:val="000000"/>
          <w:sz w:val="24"/>
          <w:szCs w:val="24"/>
        </w:rPr>
        <w:tab/>
      </w:r>
      <w:r>
        <w:rPr>
          <w:rFonts w:ascii="Times New Roman" w:hAnsi="Times New Roman" w:cs="Times New Roman"/>
          <w:snapToGrid w:val="0"/>
          <w:color w:val="000000"/>
          <w:sz w:val="24"/>
          <w:szCs w:val="24"/>
        </w:rPr>
        <w:t>Концепция обеспечения пригодности грузоподъемного технического объекта к использованию по требованиям безопасности.</w:t>
      </w:r>
    </w:p>
    <w:p>
      <w:pPr>
        <w:tabs>
          <w:tab w:val="left" w:pos="1276"/>
        </w:tabs>
        <w:spacing w:after="0" w:line="240" w:lineRule="auto"/>
        <w:ind w:left="567"/>
        <w:jc w:val="both"/>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3.</w:t>
      </w:r>
      <w:r>
        <w:rPr>
          <w:rFonts w:ascii="Times New Roman" w:hAnsi="Times New Roman" w:cs="Times New Roman"/>
          <w:snapToGrid w:val="0"/>
          <w:color w:val="000000"/>
          <w:sz w:val="24"/>
          <w:szCs w:val="24"/>
        </w:rPr>
        <w:tab/>
      </w:r>
      <w:r>
        <w:rPr>
          <w:rFonts w:ascii="Times New Roman" w:hAnsi="Times New Roman" w:cs="Times New Roman"/>
          <w:snapToGrid w:val="0"/>
          <w:color w:val="000000"/>
          <w:sz w:val="24"/>
          <w:szCs w:val="24"/>
        </w:rPr>
        <w:t>Количественная оценка риска подъемных сооружений.</w:t>
      </w:r>
    </w:p>
    <w:p>
      <w:pPr>
        <w:tabs>
          <w:tab w:val="left" w:pos="1276"/>
        </w:tabs>
        <w:spacing w:after="0" w:line="240" w:lineRule="auto"/>
        <w:ind w:left="567"/>
        <w:jc w:val="both"/>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4.</w:t>
      </w:r>
      <w:r>
        <w:rPr>
          <w:rFonts w:ascii="Times New Roman" w:hAnsi="Times New Roman" w:cs="Times New Roman"/>
          <w:snapToGrid w:val="0"/>
          <w:color w:val="000000"/>
          <w:sz w:val="24"/>
          <w:szCs w:val="24"/>
        </w:rPr>
        <w:tab/>
      </w:r>
      <w:r>
        <w:rPr>
          <w:rFonts w:ascii="Times New Roman" w:hAnsi="Times New Roman" w:cs="Times New Roman"/>
          <w:snapToGrid w:val="0"/>
          <w:color w:val="000000"/>
          <w:sz w:val="24"/>
          <w:szCs w:val="24"/>
        </w:rPr>
        <w:t>Распознавание опасности подъемных сооружений.</w:t>
      </w:r>
    </w:p>
    <w:p>
      <w:pPr>
        <w:tabs>
          <w:tab w:val="left" w:pos="1276"/>
        </w:tabs>
        <w:spacing w:after="0" w:line="240" w:lineRule="auto"/>
        <w:ind w:left="567"/>
        <w:jc w:val="both"/>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5.</w:t>
      </w:r>
      <w:r>
        <w:rPr>
          <w:rFonts w:ascii="Times New Roman" w:hAnsi="Times New Roman" w:cs="Times New Roman"/>
          <w:snapToGrid w:val="0"/>
          <w:color w:val="000000"/>
          <w:sz w:val="24"/>
          <w:szCs w:val="24"/>
        </w:rPr>
        <w:tab/>
      </w:r>
      <w:r>
        <w:rPr>
          <w:rFonts w:ascii="Times New Roman" w:hAnsi="Times New Roman" w:cs="Times New Roman"/>
          <w:snapToGrid w:val="0"/>
          <w:color w:val="000000"/>
          <w:sz w:val="24"/>
          <w:szCs w:val="24"/>
        </w:rPr>
        <w:t>Факторы опасности, опасные ситуации и опасные события на подъемных сооружениях.</w:t>
      </w:r>
    </w:p>
    <w:p>
      <w:pPr>
        <w:tabs>
          <w:tab w:val="left" w:pos="1276"/>
        </w:tabs>
        <w:spacing w:after="0" w:line="240" w:lineRule="auto"/>
        <w:ind w:left="567"/>
        <w:jc w:val="both"/>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6.</w:t>
      </w:r>
      <w:r>
        <w:rPr>
          <w:rFonts w:ascii="Times New Roman" w:hAnsi="Times New Roman" w:cs="Times New Roman"/>
          <w:snapToGrid w:val="0"/>
          <w:color w:val="000000"/>
          <w:sz w:val="24"/>
          <w:szCs w:val="24"/>
        </w:rPr>
        <w:tab/>
      </w:r>
      <w:r>
        <w:rPr>
          <w:rFonts w:ascii="Times New Roman" w:hAnsi="Times New Roman" w:cs="Times New Roman"/>
          <w:snapToGrid w:val="0"/>
          <w:color w:val="000000"/>
          <w:sz w:val="24"/>
          <w:szCs w:val="24"/>
        </w:rPr>
        <w:t>Опасности, связанные с нарушением организационных требований и ошибочными действиями персонала, обслуживающего подъемные сооружения.</w:t>
      </w:r>
    </w:p>
    <w:p>
      <w:pPr>
        <w:tabs>
          <w:tab w:val="left" w:pos="1276"/>
        </w:tabs>
        <w:spacing w:after="0" w:line="240" w:lineRule="auto"/>
        <w:ind w:left="567"/>
        <w:jc w:val="both"/>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7.</w:t>
      </w:r>
      <w:r>
        <w:rPr>
          <w:rFonts w:ascii="Times New Roman" w:hAnsi="Times New Roman" w:cs="Times New Roman"/>
          <w:snapToGrid w:val="0"/>
          <w:color w:val="000000"/>
          <w:sz w:val="24"/>
          <w:szCs w:val="24"/>
        </w:rPr>
        <w:tab/>
      </w:r>
      <w:r>
        <w:rPr>
          <w:rFonts w:ascii="Times New Roman" w:hAnsi="Times New Roman" w:cs="Times New Roman"/>
          <w:snapToGrid w:val="0"/>
          <w:color w:val="000000"/>
          <w:sz w:val="24"/>
          <w:szCs w:val="24"/>
        </w:rPr>
        <w:t>Опасность повреждения нарушения технического состояния металлоконструкций кранов.</w:t>
      </w:r>
    </w:p>
    <w:p>
      <w:pPr>
        <w:tabs>
          <w:tab w:val="left" w:pos="1276"/>
        </w:tabs>
        <w:spacing w:after="0" w:line="240" w:lineRule="auto"/>
        <w:ind w:left="567"/>
        <w:jc w:val="both"/>
        <w:rPr>
          <w:rFonts w:ascii="Times New Roman" w:hAnsi="Times New Roman" w:cs="Times New Roman"/>
          <w:b/>
          <w:sz w:val="24"/>
          <w:szCs w:val="24"/>
        </w:rPr>
      </w:pPr>
      <w:r>
        <w:rPr>
          <w:rFonts w:ascii="Times New Roman" w:hAnsi="Times New Roman" w:cs="Times New Roman"/>
          <w:snapToGrid w:val="0"/>
          <w:color w:val="000000"/>
          <w:sz w:val="24"/>
          <w:szCs w:val="24"/>
        </w:rPr>
        <w:t>8.</w:t>
      </w:r>
      <w:r>
        <w:rPr>
          <w:rFonts w:ascii="Times New Roman" w:hAnsi="Times New Roman" w:cs="Times New Roman"/>
          <w:snapToGrid w:val="0"/>
          <w:color w:val="000000"/>
          <w:sz w:val="24"/>
          <w:szCs w:val="24"/>
        </w:rPr>
        <w:tab/>
      </w:r>
      <w:r>
        <w:rPr>
          <w:rFonts w:ascii="Times New Roman" w:hAnsi="Times New Roman" w:cs="Times New Roman"/>
          <w:snapToGrid w:val="0"/>
          <w:color w:val="000000"/>
          <w:sz w:val="24"/>
          <w:szCs w:val="24"/>
        </w:rPr>
        <w:t>Сочетание элементов риска подъемных сооружений.</w:t>
      </w:r>
      <w:r>
        <w:rPr>
          <w:rFonts w:ascii="Times New Roman" w:hAnsi="Times New Roman" w:cs="Times New Roman"/>
          <w:sz w:val="24"/>
          <w:szCs w:val="24"/>
        </w:rPr>
        <w:br w:type="textWrapping"/>
      </w:r>
    </w:p>
    <w:p>
      <w:pPr>
        <w:spacing w:after="0"/>
        <w:ind w:firstLine="567"/>
        <w:jc w:val="right"/>
        <w:rPr>
          <w:rFonts w:ascii="Times New Roman" w:hAnsi="Times New Roman" w:cs="Times New Roman"/>
          <w:b/>
          <w:sz w:val="24"/>
          <w:szCs w:val="24"/>
        </w:rPr>
      </w:pPr>
    </w:p>
    <w:p>
      <w:pPr>
        <w:spacing w:after="0"/>
        <w:ind w:firstLine="567"/>
        <w:jc w:val="right"/>
        <w:rPr>
          <w:rFonts w:ascii="Times New Roman" w:hAnsi="Times New Roman" w:cs="Times New Roman"/>
          <w:b/>
          <w:sz w:val="24"/>
          <w:szCs w:val="24"/>
        </w:rPr>
      </w:pPr>
    </w:p>
    <w:p>
      <w:pPr>
        <w:spacing w:after="0"/>
        <w:ind w:firstLine="567"/>
        <w:jc w:val="right"/>
        <w:rPr>
          <w:rFonts w:ascii="Times New Roman" w:hAnsi="Times New Roman" w:cs="Times New Roman"/>
          <w:b/>
          <w:sz w:val="24"/>
          <w:szCs w:val="24"/>
        </w:rPr>
      </w:pPr>
    </w:p>
    <w:p>
      <w:pPr>
        <w:spacing w:after="0"/>
        <w:ind w:firstLine="567"/>
        <w:jc w:val="right"/>
        <w:rPr>
          <w:rFonts w:ascii="Times New Roman" w:hAnsi="Times New Roman" w:cs="Times New Roman"/>
          <w:b/>
          <w:sz w:val="24"/>
          <w:szCs w:val="24"/>
        </w:rPr>
      </w:pPr>
    </w:p>
    <w:p>
      <w:pPr>
        <w:spacing w:after="0"/>
        <w:ind w:firstLine="567"/>
        <w:jc w:val="right"/>
        <w:rPr>
          <w:rFonts w:ascii="Times New Roman" w:hAnsi="Times New Roman" w:cs="Times New Roman"/>
          <w:b/>
          <w:sz w:val="24"/>
          <w:szCs w:val="24"/>
        </w:rPr>
      </w:pPr>
    </w:p>
    <w:p>
      <w:pPr>
        <w:spacing w:after="0"/>
        <w:ind w:firstLine="567"/>
        <w:jc w:val="right"/>
        <w:rPr>
          <w:rFonts w:ascii="Times New Roman" w:hAnsi="Times New Roman" w:cs="Times New Roman"/>
          <w:b/>
          <w:sz w:val="24"/>
          <w:szCs w:val="24"/>
        </w:rPr>
      </w:pPr>
    </w:p>
    <w:p>
      <w:pPr>
        <w:spacing w:after="0"/>
        <w:ind w:firstLine="567"/>
        <w:jc w:val="right"/>
        <w:rPr>
          <w:rFonts w:ascii="Times New Roman" w:hAnsi="Times New Roman" w:cs="Times New Roman"/>
          <w:b/>
          <w:sz w:val="24"/>
          <w:szCs w:val="24"/>
        </w:rPr>
      </w:pPr>
    </w:p>
    <w:p>
      <w:pPr>
        <w:spacing w:after="0"/>
        <w:ind w:firstLine="567"/>
        <w:jc w:val="right"/>
        <w:rPr>
          <w:rFonts w:ascii="Times New Roman" w:hAnsi="Times New Roman" w:cs="Times New Roman"/>
          <w:b/>
          <w:sz w:val="24"/>
          <w:szCs w:val="24"/>
        </w:rPr>
      </w:pPr>
    </w:p>
    <w:p>
      <w:pPr>
        <w:spacing w:after="0"/>
        <w:ind w:firstLine="567"/>
        <w:jc w:val="right"/>
        <w:rPr>
          <w:rFonts w:ascii="Times New Roman" w:hAnsi="Times New Roman" w:cs="Times New Roman"/>
          <w:b/>
          <w:sz w:val="24"/>
          <w:szCs w:val="24"/>
        </w:rPr>
      </w:pPr>
      <w:r>
        <w:rPr>
          <w:rFonts w:ascii="Times New Roman" w:hAnsi="Times New Roman" w:cs="Times New Roman"/>
          <w:b/>
          <w:sz w:val="24"/>
          <w:szCs w:val="24"/>
        </w:rPr>
        <w:t>Приложение № 1.</w:t>
      </w:r>
    </w:p>
    <w:p>
      <w:pPr>
        <w:spacing w:after="0"/>
        <w:ind w:firstLine="567"/>
        <w:jc w:val="both"/>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eastAsia="ru-RU"/>
        </w:rPr>
        <w:drawing>
          <wp:inline distT="0" distB="0" distL="0" distR="0">
            <wp:extent cx="629285" cy="68770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629285" cy="687705"/>
                    </a:xfrm>
                    <a:prstGeom prst="rect">
                      <a:avLst/>
                    </a:prstGeom>
                    <a:noFill/>
                    <a:ln>
                      <a:noFill/>
                    </a:ln>
                  </pic:spPr>
                </pic:pic>
              </a:graphicData>
            </a:graphic>
          </wp:inline>
        </w:drawing>
      </w:r>
    </w:p>
    <w:p>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МИНИСТЕРСТВО ОБРАЗОВАНИЯ И НАУКИ РОССИЙСКОЙ ФЕДЕРАЦИИ</w:t>
      </w:r>
    </w:p>
    <w:p>
      <w:pPr>
        <w:spacing w:after="0" w:line="240" w:lineRule="auto"/>
        <w:ind w:right="-6" w:hanging="71"/>
        <w:jc w:val="center"/>
        <w:rPr>
          <w:rFonts w:ascii="Times New Roman" w:hAnsi="Times New Roman" w:cs="Times New Roman"/>
          <w:b/>
          <w:bCs/>
          <w:sz w:val="24"/>
          <w:szCs w:val="24"/>
        </w:rPr>
      </w:pPr>
      <w:r>
        <w:rPr>
          <w:rFonts w:ascii="Times New Roman" w:hAnsi="Times New Roman" w:cs="Times New Roman"/>
          <w:b/>
          <w:bCs/>
          <w:sz w:val="24"/>
          <w:szCs w:val="24"/>
        </w:rPr>
        <w:t>ФЕДЕРАЛЬНОЕ ГОСУДАРСТВЕННОЕ БЮДЖЕТНОЕ ОБРАЗОВАТЕЛЬНОЕ УЧРЕЖДЕНИЕ ВЫСШЕГО ОБРАЗОВАНИЯ</w:t>
      </w:r>
      <w:r>
        <w:rPr>
          <w:rFonts w:ascii="Times New Roman" w:hAnsi="Times New Roman" w:cs="Times New Roman"/>
          <w:bCs/>
          <w:sz w:val="24"/>
          <w:szCs w:val="24"/>
        </w:rPr>
        <w:br w:type="textWrapping"/>
      </w:r>
      <w:r>
        <w:rPr>
          <w:rFonts w:ascii="Times New Roman" w:hAnsi="Times New Roman" w:cs="Times New Roman"/>
          <w:b/>
          <w:bCs/>
          <w:sz w:val="24"/>
          <w:szCs w:val="24"/>
        </w:rPr>
        <w:t>«ДОНСКОЙ ГОСУДАРСТВЕННЫЙ ТЕХНИЧЕСКИЙ УНИВЕРСИТЕТ»</w:t>
      </w:r>
    </w:p>
    <w:p>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(ДГТУ)</w:t>
      </w:r>
    </w:p>
    <w:p>
      <w:pPr>
        <w:spacing w:after="0" w:line="240" w:lineRule="auto"/>
        <w:ind w:firstLine="540"/>
        <w:jc w:val="center"/>
        <w:rPr>
          <w:rFonts w:ascii="Times New Roman" w:hAnsi="Times New Roman" w:cs="Times New Roman"/>
          <w:b/>
          <w:sz w:val="24"/>
          <w:szCs w:val="24"/>
        </w:rPr>
      </w:pPr>
    </w:p>
    <w:p>
      <w:pPr>
        <w:spacing w:after="0" w:line="240" w:lineRule="auto"/>
        <w:ind w:firstLine="540"/>
        <w:jc w:val="center"/>
        <w:rPr>
          <w:rFonts w:ascii="Times New Roman" w:hAnsi="Times New Roman" w:cs="Times New Roman"/>
          <w:b/>
          <w:sz w:val="24"/>
          <w:szCs w:val="24"/>
        </w:rPr>
      </w:pPr>
      <w:r>
        <w:rPr>
          <w:rFonts w:ascii="Times New Roman" w:hAnsi="Times New Roman" w:cs="Times New Roman"/>
          <w:b/>
          <w:sz w:val="24"/>
          <w:szCs w:val="24"/>
        </w:rPr>
        <w:t>Отдел магистратуры</w:t>
      </w:r>
    </w:p>
    <w:p>
      <w:pPr>
        <w:spacing w:after="0" w:line="240" w:lineRule="auto"/>
        <w:ind w:firstLine="540"/>
        <w:jc w:val="center"/>
        <w:rPr>
          <w:rFonts w:ascii="Times New Roman" w:hAnsi="Times New Roman" w:cs="Times New Roman"/>
          <w:b/>
          <w:bCs/>
          <w:sz w:val="24"/>
          <w:szCs w:val="24"/>
        </w:rPr>
      </w:pPr>
      <w:r>
        <w:rPr>
          <w:rFonts w:ascii="Times New Roman" w:hAnsi="Times New Roman" w:cs="Times New Roman"/>
          <w:sz w:val="24"/>
          <w:szCs w:val="24"/>
        </w:rPr>
        <w:t>Кафедра «</w:t>
      </w:r>
      <w:r>
        <w:rPr>
          <w:rFonts w:ascii="Times New Roman" w:hAnsi="Times New Roman" w:cs="Times New Roman"/>
          <w:b/>
          <w:bCs/>
          <w:sz w:val="24"/>
          <w:szCs w:val="24"/>
        </w:rPr>
        <w:t>Эксплуатация транспортных систем и логистика»</w:t>
      </w: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КОНТРОЛЬНАЯ РАБОТА</w:t>
      </w:r>
    </w:p>
    <w:p>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по дисциплине</w:t>
      </w:r>
    </w:p>
    <w:p>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w:t>
      </w:r>
      <w:r>
        <w:rPr>
          <w:rFonts w:ascii="Times New Roman" w:hAnsi="Times New Roman" w:cs="Times New Roman"/>
          <w:sz w:val="24"/>
          <w:szCs w:val="24"/>
        </w:rPr>
        <w:t>Риск- менеджмент</w:t>
      </w:r>
      <w:r>
        <w:rPr>
          <w:rFonts w:ascii="Times New Roman" w:hAnsi="Times New Roman" w:cs="Times New Roman"/>
          <w:b/>
          <w:sz w:val="24"/>
          <w:szCs w:val="24"/>
        </w:rPr>
        <w:t>"</w:t>
      </w: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left="4536"/>
        <w:contextualSpacing/>
        <w:jc w:val="both"/>
        <w:rPr>
          <w:rFonts w:ascii="Times New Roman" w:hAnsi="Times New Roman" w:cs="Times New Roman"/>
          <w:i/>
          <w:sz w:val="24"/>
          <w:szCs w:val="24"/>
          <w:u w:val="single"/>
        </w:rPr>
      </w:pPr>
      <w:r>
        <w:rPr>
          <w:rFonts w:ascii="Times New Roman" w:hAnsi="Times New Roman" w:cs="Times New Roman"/>
          <w:sz w:val="24"/>
          <w:szCs w:val="24"/>
        </w:rPr>
        <w:t xml:space="preserve">Выполнил: магистрант группы </w:t>
      </w:r>
      <w:r>
        <w:rPr>
          <w:rFonts w:ascii="Times New Roman" w:hAnsi="Times New Roman" w:cs="Times New Roman"/>
          <w:i/>
          <w:sz w:val="24"/>
          <w:szCs w:val="24"/>
          <w:u w:val="single"/>
        </w:rPr>
        <w:t>номер группы  и ФИО магистранта</w:t>
      </w:r>
    </w:p>
    <w:p>
      <w:pPr>
        <w:spacing w:after="0" w:line="240" w:lineRule="auto"/>
        <w:ind w:left="4536"/>
        <w:contextualSpacing/>
        <w:jc w:val="both"/>
        <w:rPr>
          <w:rFonts w:ascii="Times New Roman" w:hAnsi="Times New Roman" w:cs="Times New Roman"/>
          <w:sz w:val="24"/>
          <w:szCs w:val="24"/>
        </w:rPr>
      </w:pPr>
    </w:p>
    <w:p>
      <w:pPr>
        <w:spacing w:after="0" w:line="240" w:lineRule="auto"/>
        <w:ind w:left="4536"/>
        <w:contextualSpacing/>
        <w:jc w:val="both"/>
        <w:rPr>
          <w:rFonts w:ascii="Times New Roman" w:hAnsi="Times New Roman" w:cs="Times New Roman"/>
          <w:sz w:val="24"/>
          <w:szCs w:val="24"/>
        </w:rPr>
      </w:pPr>
      <w:r>
        <w:rPr>
          <w:rFonts w:ascii="Times New Roman" w:hAnsi="Times New Roman" w:cs="Times New Roman"/>
          <w:sz w:val="24"/>
          <w:szCs w:val="24"/>
        </w:rPr>
        <w:t xml:space="preserve">Проверил: </w:t>
      </w:r>
      <w:r>
        <w:rPr>
          <w:rFonts w:ascii="Times New Roman" w:hAnsi="Times New Roman" w:cs="Times New Roman"/>
          <w:i/>
          <w:sz w:val="24"/>
          <w:szCs w:val="24"/>
          <w:u w:val="single"/>
        </w:rPr>
        <w:t>ученая степень, ученое звание и ФИО преподавателя</w:t>
      </w: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Ростов-на-Дону</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r>
        <w:rPr>
          <w:rFonts w:ascii="Times New Roman" w:hAnsi="Times New Roman" w:cs="Times New Roman"/>
          <w:sz w:val="24"/>
          <w:szCs w:val="24"/>
          <w:lang w:val="ru-RU"/>
        </w:rPr>
        <w:t>2</w:t>
      </w:r>
      <w:r>
        <w:rPr>
          <w:rFonts w:ascii="Times New Roman" w:hAnsi="Times New Roman" w:cs="Times New Roman"/>
          <w:sz w:val="24"/>
          <w:szCs w:val="24"/>
        </w:rPr>
        <w:t>_ г.</w:t>
      </w:r>
    </w:p>
    <w:p>
      <w:pPr>
        <w:spacing w:after="0" w:line="240" w:lineRule="auto"/>
        <w:jc w:val="center"/>
        <w:rPr>
          <w:rFonts w:ascii="Times New Roman" w:hAnsi="Times New Roman" w:cs="Times New Roman"/>
          <w:sz w:val="24"/>
          <w:szCs w:val="24"/>
        </w:rPr>
      </w:pPr>
    </w:p>
    <w:p/>
    <w:p>
      <w:pPr>
        <w:spacing w:after="0"/>
        <w:ind w:firstLine="567"/>
        <w:jc w:val="right"/>
        <w:rPr>
          <w:rFonts w:ascii="Times New Roman" w:hAnsi="Times New Roman" w:cs="Times New Roman"/>
          <w:b/>
          <w:sz w:val="24"/>
          <w:szCs w:val="24"/>
        </w:rPr>
      </w:pPr>
    </w:p>
    <w:p>
      <w:pPr>
        <w:spacing w:after="0"/>
        <w:ind w:firstLine="567"/>
        <w:jc w:val="right"/>
        <w:rPr>
          <w:rFonts w:ascii="Times New Roman" w:hAnsi="Times New Roman" w:cs="Times New Roman"/>
          <w:b/>
          <w:sz w:val="24"/>
          <w:szCs w:val="24"/>
        </w:rPr>
      </w:pPr>
      <w:r>
        <w:rPr>
          <w:rFonts w:ascii="Times New Roman" w:hAnsi="Times New Roman" w:cs="Times New Roman"/>
          <w:b/>
          <w:sz w:val="24"/>
          <w:szCs w:val="24"/>
        </w:rPr>
        <w:t>Приложение № 2.</w:t>
      </w:r>
    </w:p>
    <w:p>
      <w:pPr>
        <w:spacing w:after="0"/>
        <w:ind w:firstLine="567"/>
        <w:jc w:val="both"/>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bookmarkStart w:id="0" w:name="_Toc344033112"/>
      <w:bookmarkStart w:id="1" w:name="_Toc344033120"/>
      <w:r>
        <w:rPr>
          <w:rFonts w:ascii="Times New Roman" w:hAnsi="Times New Roman" w:cs="Times New Roman"/>
          <w:sz w:val="24"/>
          <w:szCs w:val="24"/>
          <w:lang w:eastAsia="ru-RU"/>
        </w:rPr>
        <w:drawing>
          <wp:inline distT="0" distB="0" distL="0" distR="0">
            <wp:extent cx="628650" cy="685800"/>
            <wp:effectExtent l="1905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1"/>
                    <pic:cNvPicPr>
                      <a:picLocks noChangeAspect="1" noChangeArrowheads="1"/>
                    </pic:cNvPicPr>
                  </pic:nvPicPr>
                  <pic:blipFill>
                    <a:blip r:embed="rId5" cstate="print"/>
                    <a:srcRect/>
                    <a:stretch>
                      <a:fillRect/>
                    </a:stretch>
                  </pic:blipFill>
                  <pic:spPr>
                    <a:xfrm>
                      <a:off x="0" y="0"/>
                      <a:ext cx="628650" cy="685800"/>
                    </a:xfrm>
                    <a:prstGeom prst="rect">
                      <a:avLst/>
                    </a:prstGeom>
                    <a:noFill/>
                    <a:ln w="9525">
                      <a:noFill/>
                      <a:miter lim="800000"/>
                      <a:headEnd/>
                      <a:tailEnd/>
                    </a:ln>
                  </pic:spPr>
                </pic:pic>
              </a:graphicData>
            </a:graphic>
          </wp:inline>
        </w:drawing>
      </w:r>
    </w:p>
    <w:p>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МИНИСТЕРСТВО ОБРАЗОВАНИЯ И НАУКИ РОССИЙСКОЙ ФЕДЕРАЦИИ</w:t>
      </w:r>
    </w:p>
    <w:p>
      <w:pPr>
        <w:spacing w:after="0" w:line="240" w:lineRule="auto"/>
        <w:ind w:right="-6" w:hanging="71"/>
        <w:jc w:val="center"/>
        <w:rPr>
          <w:rFonts w:ascii="Times New Roman" w:hAnsi="Times New Roman" w:cs="Times New Roman"/>
          <w:b/>
          <w:bCs/>
          <w:sz w:val="24"/>
          <w:szCs w:val="24"/>
        </w:rPr>
      </w:pPr>
      <w:r>
        <w:rPr>
          <w:rFonts w:ascii="Times New Roman" w:hAnsi="Times New Roman" w:cs="Times New Roman"/>
          <w:b/>
          <w:bCs/>
          <w:sz w:val="24"/>
          <w:szCs w:val="24"/>
        </w:rPr>
        <w:t>ФЕДЕРАЛЬНОЕ ГОСУДАРСТВЕННОЕ БЮДЖЕТНОЕ ОБРАЗОВАТЕЛЬНОЕ УЧРЕЖДЕНИЕ ВЫСШЕГО ОБРАЗОВАНИЯ</w:t>
      </w:r>
      <w:r>
        <w:rPr>
          <w:rFonts w:ascii="Times New Roman" w:hAnsi="Times New Roman" w:cs="Times New Roman"/>
          <w:bCs/>
          <w:sz w:val="24"/>
          <w:szCs w:val="24"/>
        </w:rPr>
        <w:br w:type="textWrapping"/>
      </w:r>
      <w:r>
        <w:rPr>
          <w:rFonts w:ascii="Times New Roman" w:hAnsi="Times New Roman" w:cs="Times New Roman"/>
          <w:b/>
          <w:bCs/>
          <w:sz w:val="24"/>
          <w:szCs w:val="24"/>
        </w:rPr>
        <w:t>«ДОНСКОЙ ГОСУДАРСТВЕННЫЙ ТЕХНИЧЕСКИЙ УНИВЕРСИТЕТ»</w:t>
      </w:r>
    </w:p>
    <w:p>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(ДГТУ)</w:t>
      </w:r>
    </w:p>
    <w:p>
      <w:pPr>
        <w:spacing w:after="0" w:line="240" w:lineRule="auto"/>
        <w:ind w:firstLine="540"/>
        <w:jc w:val="center"/>
        <w:rPr>
          <w:rFonts w:ascii="Times New Roman" w:hAnsi="Times New Roman" w:cs="Times New Roman"/>
          <w:b/>
          <w:sz w:val="24"/>
          <w:szCs w:val="24"/>
        </w:rPr>
      </w:pPr>
    </w:p>
    <w:p>
      <w:pPr>
        <w:spacing w:after="0" w:line="240" w:lineRule="auto"/>
        <w:ind w:firstLine="540"/>
        <w:jc w:val="center"/>
        <w:rPr>
          <w:rFonts w:ascii="Times New Roman" w:hAnsi="Times New Roman" w:cs="Times New Roman"/>
          <w:b/>
          <w:sz w:val="24"/>
          <w:szCs w:val="24"/>
        </w:rPr>
      </w:pPr>
      <w:r>
        <w:rPr>
          <w:rFonts w:ascii="Times New Roman" w:hAnsi="Times New Roman" w:cs="Times New Roman"/>
          <w:b/>
          <w:sz w:val="24"/>
          <w:szCs w:val="24"/>
        </w:rPr>
        <w:t>Отдел магистратуры</w:t>
      </w:r>
    </w:p>
    <w:p>
      <w:pPr>
        <w:spacing w:after="0" w:line="240" w:lineRule="auto"/>
        <w:ind w:firstLine="540"/>
        <w:jc w:val="center"/>
        <w:rPr>
          <w:rFonts w:ascii="Times New Roman" w:hAnsi="Times New Roman" w:cs="Times New Roman"/>
          <w:b/>
          <w:bCs/>
          <w:sz w:val="24"/>
          <w:szCs w:val="24"/>
        </w:rPr>
      </w:pPr>
      <w:r>
        <w:rPr>
          <w:rFonts w:ascii="Times New Roman" w:hAnsi="Times New Roman" w:cs="Times New Roman"/>
          <w:sz w:val="24"/>
          <w:szCs w:val="24"/>
        </w:rPr>
        <w:t xml:space="preserve">Кафедра    </w:t>
      </w:r>
      <w:r>
        <w:rPr>
          <w:rFonts w:ascii="Times New Roman" w:hAnsi="Times New Roman" w:cs="Times New Roman"/>
          <w:b/>
          <w:bCs/>
          <w:sz w:val="24"/>
          <w:szCs w:val="24"/>
        </w:rPr>
        <w:t>«Эксплуатация транспортных систем и логистика»</w:t>
      </w: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РЕФЕРАТ</w:t>
      </w:r>
      <w:bookmarkEnd w:id="0"/>
      <w:bookmarkEnd w:id="1"/>
    </w:p>
    <w:p>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по дисциплине</w:t>
      </w:r>
    </w:p>
    <w:p>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w:t>
      </w:r>
      <w:r>
        <w:t xml:space="preserve"> </w:t>
      </w:r>
      <w:r>
        <w:rPr>
          <w:rFonts w:ascii="Times New Roman" w:hAnsi="Times New Roman" w:cs="Times New Roman"/>
          <w:sz w:val="24"/>
          <w:szCs w:val="24"/>
        </w:rPr>
        <w:t xml:space="preserve">Риск- менеджмент </w:t>
      </w:r>
      <w:r>
        <w:rPr>
          <w:rFonts w:ascii="Times New Roman" w:hAnsi="Times New Roman" w:cs="Times New Roman"/>
          <w:b/>
          <w:sz w:val="24"/>
          <w:szCs w:val="24"/>
        </w:rPr>
        <w:t>"</w:t>
      </w:r>
    </w:p>
    <w:p>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на тему:</w:t>
      </w:r>
    </w:p>
    <w:p>
      <w:pPr>
        <w:pStyle w:val="2"/>
        <w:spacing w:line="360" w:lineRule="auto"/>
        <w:jc w:val="center"/>
        <w:rPr>
          <w:rFonts w:ascii="Times New Roman" w:hAnsi="Times New Roman" w:eastAsia="Times New Roman" w:cs="Times New Roman"/>
          <w:bCs w:val="0"/>
          <w:color w:val="auto"/>
          <w:sz w:val="24"/>
          <w:szCs w:val="24"/>
        </w:rPr>
      </w:pPr>
      <w:r>
        <w:rPr>
          <w:rFonts w:ascii="Times New Roman" w:hAnsi="Times New Roman" w:eastAsia="Times New Roman" w:cs="Times New Roman"/>
          <w:bCs w:val="0"/>
          <w:color w:val="auto"/>
          <w:sz w:val="24"/>
          <w:szCs w:val="24"/>
        </w:rPr>
        <w:t>«</w:t>
      </w:r>
      <w:r>
        <w:rPr>
          <w:rFonts w:ascii="Times New Roman" w:hAnsi="Times New Roman" w:eastAsia="Times New Roman" w:cs="Times New Roman"/>
          <w:b w:val="0"/>
          <w:bCs w:val="0"/>
          <w:i/>
          <w:color w:val="auto"/>
          <w:sz w:val="24"/>
          <w:szCs w:val="24"/>
          <w:u w:val="single"/>
        </w:rPr>
        <w:t>название темы реферата</w:t>
      </w:r>
      <w:r>
        <w:rPr>
          <w:rFonts w:ascii="Times New Roman" w:hAnsi="Times New Roman" w:eastAsia="Times New Roman" w:cs="Times New Roman"/>
          <w:bCs w:val="0"/>
          <w:color w:val="auto"/>
          <w:sz w:val="24"/>
          <w:szCs w:val="24"/>
        </w:rPr>
        <w:t>»</w:t>
      </w: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left="4536"/>
        <w:contextualSpacing/>
        <w:jc w:val="both"/>
        <w:rPr>
          <w:rFonts w:ascii="Times New Roman" w:hAnsi="Times New Roman" w:cs="Times New Roman"/>
          <w:i/>
          <w:sz w:val="24"/>
          <w:szCs w:val="24"/>
          <w:u w:val="single"/>
        </w:rPr>
      </w:pPr>
      <w:r>
        <w:rPr>
          <w:rFonts w:ascii="Times New Roman" w:hAnsi="Times New Roman" w:cs="Times New Roman"/>
          <w:sz w:val="24"/>
          <w:szCs w:val="24"/>
        </w:rPr>
        <w:t xml:space="preserve">Выполнил: магистрант группы </w:t>
      </w:r>
      <w:r>
        <w:rPr>
          <w:rFonts w:ascii="Times New Roman" w:hAnsi="Times New Roman" w:cs="Times New Roman"/>
          <w:i/>
          <w:sz w:val="24"/>
          <w:szCs w:val="24"/>
          <w:u w:val="single"/>
        </w:rPr>
        <w:t>номер группы  и ФИО магистранта</w:t>
      </w:r>
    </w:p>
    <w:p>
      <w:pPr>
        <w:spacing w:after="0" w:line="240" w:lineRule="auto"/>
        <w:ind w:left="4536"/>
        <w:contextualSpacing/>
        <w:jc w:val="both"/>
        <w:rPr>
          <w:rFonts w:ascii="Times New Roman" w:hAnsi="Times New Roman" w:cs="Times New Roman"/>
          <w:sz w:val="24"/>
          <w:szCs w:val="24"/>
        </w:rPr>
      </w:pPr>
    </w:p>
    <w:p>
      <w:pPr>
        <w:spacing w:after="0" w:line="240" w:lineRule="auto"/>
        <w:ind w:left="4536"/>
        <w:contextualSpacing/>
        <w:jc w:val="both"/>
        <w:rPr>
          <w:rFonts w:ascii="Times New Roman" w:hAnsi="Times New Roman" w:cs="Times New Roman"/>
          <w:sz w:val="24"/>
          <w:szCs w:val="24"/>
        </w:rPr>
      </w:pPr>
      <w:r>
        <w:rPr>
          <w:rFonts w:ascii="Times New Roman" w:hAnsi="Times New Roman" w:cs="Times New Roman"/>
          <w:sz w:val="24"/>
          <w:szCs w:val="24"/>
        </w:rPr>
        <w:t xml:space="preserve">Проверил: </w:t>
      </w:r>
      <w:r>
        <w:rPr>
          <w:rFonts w:ascii="Times New Roman" w:hAnsi="Times New Roman" w:cs="Times New Roman"/>
          <w:i/>
          <w:sz w:val="24"/>
          <w:szCs w:val="24"/>
          <w:u w:val="single"/>
        </w:rPr>
        <w:t>ученая степень, ученое звание и ФИО преподавателя</w:t>
      </w: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Ростов-на-Дону</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r>
        <w:rPr>
          <w:rFonts w:ascii="Times New Roman" w:hAnsi="Times New Roman" w:cs="Times New Roman"/>
          <w:sz w:val="24"/>
          <w:szCs w:val="24"/>
          <w:lang w:val="ru-RU"/>
        </w:rPr>
        <w:t>2</w:t>
      </w:r>
      <w:bookmarkStart w:id="2" w:name="_GoBack"/>
      <w:bookmarkEnd w:id="2"/>
      <w:r>
        <w:rPr>
          <w:rFonts w:ascii="Times New Roman" w:hAnsi="Times New Roman" w:cs="Times New Roman"/>
          <w:sz w:val="24"/>
          <w:szCs w:val="24"/>
        </w:rPr>
        <w:t>_ г.</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sectPr>
      <w:pgSz w:w="11906" w:h="16838"/>
      <w:pgMar w:top="1134" w:right="850" w:bottom="1134" w:left="170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libri Light">
    <w:panose1 w:val="020F0302020204030204"/>
    <w:charset w:val="CC"/>
    <w:family w:val="swiss"/>
    <w:pitch w:val="default"/>
    <w:sig w:usb0="E4002EFF" w:usb1="C0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Tahoma">
    <w:panose1 w:val="020B0604030504040204"/>
    <w:charset w:val="CC"/>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59A5"/>
    <w:multiLevelType w:val="multilevel"/>
    <w:tmpl w:val="00D359A5"/>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40CA464E"/>
    <w:multiLevelType w:val="multilevel"/>
    <w:tmpl w:val="40CA464E"/>
    <w:lvl w:ilvl="0" w:tentative="0">
      <w:start w:val="1"/>
      <w:numFmt w:val="decimal"/>
      <w:lvlText w:val="%1."/>
      <w:lvlJc w:val="left"/>
      <w:pPr>
        <w:ind w:left="1070" w:hanging="360"/>
      </w:pPr>
    </w:lvl>
    <w:lvl w:ilvl="1" w:tentative="0">
      <w:start w:val="1"/>
      <w:numFmt w:val="lowerLetter"/>
      <w:lvlText w:val="%2."/>
      <w:lvlJc w:val="left"/>
      <w:pPr>
        <w:ind w:left="1790" w:hanging="360"/>
      </w:pPr>
    </w:lvl>
    <w:lvl w:ilvl="2" w:tentative="0">
      <w:start w:val="1"/>
      <w:numFmt w:val="lowerRoman"/>
      <w:lvlText w:val="%3."/>
      <w:lvlJc w:val="right"/>
      <w:pPr>
        <w:ind w:left="2510" w:hanging="180"/>
      </w:pPr>
    </w:lvl>
    <w:lvl w:ilvl="3" w:tentative="0">
      <w:start w:val="1"/>
      <w:numFmt w:val="decimal"/>
      <w:lvlText w:val="%4."/>
      <w:lvlJc w:val="left"/>
      <w:pPr>
        <w:ind w:left="3230" w:hanging="360"/>
      </w:pPr>
    </w:lvl>
    <w:lvl w:ilvl="4" w:tentative="0">
      <w:start w:val="1"/>
      <w:numFmt w:val="lowerLetter"/>
      <w:lvlText w:val="%5."/>
      <w:lvlJc w:val="left"/>
      <w:pPr>
        <w:ind w:left="3950" w:hanging="360"/>
      </w:pPr>
    </w:lvl>
    <w:lvl w:ilvl="5" w:tentative="0">
      <w:start w:val="1"/>
      <w:numFmt w:val="lowerRoman"/>
      <w:lvlText w:val="%6."/>
      <w:lvlJc w:val="right"/>
      <w:pPr>
        <w:ind w:left="4670" w:hanging="180"/>
      </w:pPr>
    </w:lvl>
    <w:lvl w:ilvl="6" w:tentative="0">
      <w:start w:val="1"/>
      <w:numFmt w:val="decimal"/>
      <w:lvlText w:val="%7."/>
      <w:lvlJc w:val="left"/>
      <w:pPr>
        <w:ind w:left="5390" w:hanging="360"/>
      </w:pPr>
    </w:lvl>
    <w:lvl w:ilvl="7" w:tentative="0">
      <w:start w:val="1"/>
      <w:numFmt w:val="lowerLetter"/>
      <w:lvlText w:val="%8."/>
      <w:lvlJc w:val="left"/>
      <w:pPr>
        <w:ind w:left="6110" w:hanging="360"/>
      </w:pPr>
    </w:lvl>
    <w:lvl w:ilvl="8" w:tentative="0">
      <w:start w:val="1"/>
      <w:numFmt w:val="lowerRoman"/>
      <w:lvlText w:val="%9."/>
      <w:lvlJc w:val="right"/>
      <w:pPr>
        <w:ind w:left="683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708"/>
  <w:characterSpacingControl w:val="doNotCompress"/>
  <w:compat>
    <w:compatSetting w:name="compatibilityMode" w:uri="http://schemas.microsoft.com/office/word" w:val="12"/>
  </w:compat>
  <w:rsids>
    <w:rsidRoot w:val="002225EA"/>
    <w:rsid w:val="002063D8"/>
    <w:rsid w:val="002225EA"/>
    <w:rsid w:val="003F07D3"/>
    <w:rsid w:val="004122BC"/>
    <w:rsid w:val="00972D13"/>
    <w:rsid w:val="00B44FCF"/>
    <w:rsid w:val="00D07741"/>
    <w:rsid w:val="00F62DCD"/>
    <w:rsid w:val="2F4C591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paragraph" w:styleId="2">
    <w:name w:val="heading 2"/>
    <w:basedOn w:val="1"/>
    <w:next w:val="1"/>
    <w:link w:val="10"/>
    <w:semiHidden/>
    <w:unhideWhenUsed/>
    <w:qFormat/>
    <w:uiPriority w:val="9"/>
    <w:pPr>
      <w:keepNext/>
      <w:keepLines/>
      <w:spacing w:before="200" w:after="0"/>
      <w:outlineLvl w:val="1"/>
    </w:pPr>
    <w:rPr>
      <w:rFonts w:asciiTheme="majorHAnsi" w:hAnsiTheme="majorHAnsi" w:eastAsiaTheme="majorEastAsia" w:cstheme="majorBidi"/>
      <w:b/>
      <w:bCs/>
      <w:color w:val="4472C4" w:themeColor="accent1"/>
      <w:sz w:val="26"/>
      <w:szCs w:val="26"/>
    </w:rPr>
  </w:style>
  <w:style w:type="character" w:default="1" w:styleId="5">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3"/>
    <w:semiHidden/>
    <w:unhideWhenUsed/>
    <w:qFormat/>
    <w:uiPriority w:val="99"/>
    <w:pPr>
      <w:spacing w:after="0" w:line="240" w:lineRule="auto"/>
    </w:pPr>
    <w:rPr>
      <w:rFonts w:ascii="Tahoma" w:hAnsi="Tahoma" w:cs="Tahoma"/>
      <w:sz w:val="16"/>
      <w:szCs w:val="16"/>
    </w:rPr>
  </w:style>
  <w:style w:type="paragraph" w:styleId="4">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styleId="6">
    <w:name w:val="FollowedHyperlink"/>
    <w:basedOn w:val="5"/>
    <w:semiHidden/>
    <w:unhideWhenUsed/>
    <w:qFormat/>
    <w:uiPriority w:val="99"/>
    <w:rPr>
      <w:color w:val="954F72" w:themeColor="followedHyperlink"/>
      <w:u w:val="single"/>
    </w:rPr>
  </w:style>
  <w:style w:type="character" w:styleId="7">
    <w:name w:val="Hyperlink"/>
    <w:basedOn w:val="5"/>
    <w:semiHidden/>
    <w:unhideWhenUsed/>
    <w:uiPriority w:val="99"/>
    <w:rPr>
      <w:color w:val="0000FF"/>
      <w:u w:val="single"/>
    </w:rPr>
  </w:style>
  <w:style w:type="table" w:styleId="9">
    <w:name w:val="Table Grid"/>
    <w:basedOn w:val="8"/>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Заголовок 2 Знак"/>
    <w:basedOn w:val="5"/>
    <w:link w:val="2"/>
    <w:semiHidden/>
    <w:uiPriority w:val="9"/>
    <w:rPr>
      <w:rFonts w:asciiTheme="majorHAnsi" w:hAnsiTheme="majorHAnsi" w:eastAsiaTheme="majorEastAsia" w:cstheme="majorBidi"/>
      <w:b/>
      <w:bCs/>
      <w:color w:val="4472C4" w:themeColor="accent1"/>
      <w:sz w:val="26"/>
      <w:szCs w:val="26"/>
    </w:rPr>
  </w:style>
  <w:style w:type="character" w:customStyle="1" w:styleId="11">
    <w:name w:val="apple-converted-space"/>
    <w:basedOn w:val="5"/>
    <w:uiPriority w:val="0"/>
  </w:style>
  <w:style w:type="paragraph" w:styleId="12">
    <w:name w:val="List Paragraph"/>
    <w:basedOn w:val="1"/>
    <w:qFormat/>
    <w:uiPriority w:val="34"/>
    <w:pPr>
      <w:spacing w:after="0" w:line="240" w:lineRule="auto"/>
      <w:ind w:left="720"/>
      <w:contextualSpacing/>
    </w:pPr>
    <w:rPr>
      <w:rFonts w:ascii="Times New Roman" w:hAnsi="Times New Roman" w:eastAsia="Times New Roman" w:cs="Times New Roman"/>
      <w:sz w:val="20"/>
      <w:szCs w:val="20"/>
      <w:lang w:eastAsia="ru-RU"/>
    </w:rPr>
  </w:style>
  <w:style w:type="character" w:customStyle="1" w:styleId="13">
    <w:name w:val="Текст выноски Знак"/>
    <w:basedOn w:val="5"/>
    <w:link w:val="3"/>
    <w:semiHidden/>
    <w:qFormat/>
    <w:uiPriority w:val="99"/>
    <w:rPr>
      <w:rFonts w:ascii="Tahoma" w:hAnsi="Tahoma" w:cs="Tahoma"/>
      <w:sz w:val="16"/>
      <w:szCs w:val="1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HP</Company>
  <Pages>5</Pages>
  <Words>1519</Words>
  <Characters>8662</Characters>
  <Lines>72</Lines>
  <Paragraphs>20</Paragraphs>
  <TotalTime>10</TotalTime>
  <ScaleCrop>false</ScaleCrop>
  <LinksUpToDate>false</LinksUpToDate>
  <CharactersWithSpaces>10161</CharactersWithSpaces>
  <Application>WPS Office_10.2.0.7635_F1E327BC-269C-435d-A152-05C5408002CA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2018-03-26T04:51:00Z</dcterms:created>
  <dc:creator>Элечка</dc:creator>
  <cp:lastModifiedBy>Kingsoft Corporation</cp:lastModifiedBy>
  <dcterms:modified xsi:type="dcterms:W3CDTF">2022-12-30T07:36:10Z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1049-10.2.0.7635</vt:lpwstr>
  </property>
</Properties>
</file>